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A1B1" w14:textId="77777777" w:rsidR="00361778" w:rsidRDefault="00361778">
      <w:pPr>
        <w:wordWrap w:val="0"/>
        <w:adjustRightInd/>
        <w:jc w:val="right"/>
      </w:pPr>
      <w:r w:rsidRPr="00361778">
        <w:rPr>
          <w:rFonts w:cs="Times New Roman"/>
          <w:bdr w:val="single" w:sz="4" w:space="0" w:color="auto"/>
        </w:rPr>
        <w:t>2016.3.16</w:t>
      </w:r>
      <w:r w:rsidRPr="00361778">
        <w:rPr>
          <w:rFonts w:hint="eastAsia"/>
          <w:bdr w:val="single" w:sz="4" w:space="0" w:color="auto"/>
        </w:rPr>
        <w:t xml:space="preserve">　明治大学　藤井</w:t>
      </w:r>
      <w:r w:rsidRPr="00361778">
        <w:rPr>
          <w:bdr w:val="single" w:sz="4" w:space="0" w:color="auto"/>
        </w:rPr>
        <w:t xml:space="preserve"> </w:t>
      </w:r>
      <w:r w:rsidRPr="00361778">
        <w:rPr>
          <w:rFonts w:hint="eastAsia"/>
          <w:bdr w:val="single" w:sz="4" w:space="0" w:color="auto"/>
        </w:rPr>
        <w:t>剛</w:t>
      </w:r>
    </w:p>
    <w:p w14:paraId="1498CBD6" w14:textId="77777777" w:rsidR="00361778" w:rsidRDefault="00361778" w:rsidP="00361778">
      <w:pPr>
        <w:adjustRightInd/>
        <w:jc w:val="right"/>
        <w:rPr>
          <w:rFonts w:ascii="ＭＳ 明朝" w:cs="Times New Roman"/>
        </w:rPr>
      </w:pPr>
    </w:p>
    <w:p w14:paraId="44D07DA0" w14:textId="77777777" w:rsidR="00361778" w:rsidRPr="007610BC" w:rsidRDefault="00361778">
      <w:pPr>
        <w:adjustRightInd/>
        <w:jc w:val="center"/>
        <w:rPr>
          <w:rFonts w:ascii="ＭＳ 明朝" w:cs="Times New Roman"/>
          <w:b/>
          <w:sz w:val="28"/>
          <w:szCs w:val="28"/>
        </w:rPr>
      </w:pPr>
      <w:r w:rsidRPr="007610BC">
        <w:rPr>
          <w:rFonts w:hint="eastAsia"/>
          <w:b/>
          <w:sz w:val="28"/>
          <w:szCs w:val="28"/>
        </w:rPr>
        <w:t>主権者教育実施上の留意事項</w:t>
      </w:r>
    </w:p>
    <w:p w14:paraId="0D703566" w14:textId="77777777" w:rsidR="00361778" w:rsidRDefault="00361778">
      <w:pPr>
        <w:adjustRightInd/>
        <w:jc w:val="center"/>
        <w:rPr>
          <w:rFonts w:ascii="ＭＳ 明朝" w:cs="Times New Roman"/>
        </w:rPr>
      </w:pPr>
    </w:p>
    <w:p w14:paraId="24BD4E77" w14:textId="77777777" w:rsidR="00361778" w:rsidRPr="00361778" w:rsidRDefault="00361778">
      <w:pPr>
        <w:adjustRightInd/>
        <w:rPr>
          <w:rFonts w:asciiTheme="majorEastAsia" w:eastAsiaTheme="majorEastAsia" w:hAnsiTheme="majorEastAsia" w:cs="Times New Roman"/>
          <w:u w:val="double"/>
        </w:rPr>
      </w:pPr>
      <w:r w:rsidRPr="00361778">
        <w:rPr>
          <w:rFonts w:asciiTheme="majorEastAsia" w:eastAsiaTheme="majorEastAsia" w:hAnsiTheme="majorEastAsia" w:hint="eastAsia"/>
          <w:u w:val="double"/>
        </w:rPr>
        <w:t>１．「ワークシート」使用上の注意点</w:t>
      </w:r>
    </w:p>
    <w:p w14:paraId="0D77FEDB" w14:textId="77777777" w:rsidR="00361778" w:rsidRDefault="00361778">
      <w:pPr>
        <w:adjustRightInd/>
        <w:rPr>
          <w:rFonts w:ascii="ＭＳ 明朝" w:cs="Times New Roman"/>
        </w:rPr>
      </w:pPr>
      <w:r>
        <w:rPr>
          <w:rFonts w:hint="eastAsia"/>
        </w:rPr>
        <w:t xml:space="preserve">　→</w:t>
      </w:r>
      <w:r>
        <w:rPr>
          <w:rFonts w:ascii="ＭＳ 明朝" w:eastAsia="ＭＳ ゴシック" w:cs="ＭＳ ゴシック" w:hint="eastAsia"/>
          <w:b/>
          <w:bCs/>
          <w:color w:val="FF0000"/>
        </w:rPr>
        <w:t>この教材は「選挙期間外」に使用するものであることを強調する。</w:t>
      </w:r>
    </w:p>
    <w:p w14:paraId="4F78BFF2" w14:textId="77777777" w:rsidR="00361778" w:rsidRDefault="00361778">
      <w:pPr>
        <w:adjustRightInd/>
        <w:ind w:left="722" w:hanging="722"/>
        <w:rPr>
          <w:rFonts w:ascii="ＭＳ 明朝" w:cs="Times New Roman"/>
        </w:rPr>
      </w:pPr>
      <w:r>
        <w:rPr>
          <w:rFonts w:hint="eastAsia"/>
        </w:rPr>
        <w:t xml:space="preserve">　　☆選挙期間中（公示～選挙結果の確定日）に行うと、公選法に抵触する恐れがある（と、「活用のための指導資料」に書いてある）。</w:t>
      </w:r>
    </w:p>
    <w:p w14:paraId="66687D14" w14:textId="77777777" w:rsidR="00361778" w:rsidRDefault="00361778">
      <w:pPr>
        <w:adjustRightInd/>
        <w:rPr>
          <w:rFonts w:ascii="ＭＳ 明朝" w:cs="Times New Roman"/>
        </w:rPr>
      </w:pPr>
      <w:r>
        <w:rPr>
          <w:rFonts w:hint="eastAsia"/>
        </w:rPr>
        <w:t>（１）根拠</w:t>
      </w:r>
    </w:p>
    <w:p w14:paraId="5193641F" w14:textId="77777777" w:rsidR="00361778" w:rsidRDefault="00361778">
      <w:pPr>
        <w:adjustRightInd/>
        <w:ind w:left="722" w:hanging="722"/>
        <w:rPr>
          <w:rFonts w:ascii="ＭＳ 明朝" w:cs="Times New Roman"/>
        </w:rPr>
      </w:pPr>
      <w:r>
        <w:rPr>
          <w:rFonts w:hint="eastAsia"/>
        </w:rPr>
        <w:t xml:space="preserve">　　「選挙運動期間に合わせて模擬選挙を実施するということは，公職選挙法上，選挙運動を行うことができる期間に実施することとなるため，選挙運動について，公職選挙法上，様々な制限がある中，それらに抵触することがないよう留意して実施する必要がある。」（指導資料</w:t>
      </w:r>
      <w:r>
        <w:t>p.48</w:t>
      </w:r>
      <w:r>
        <w:rPr>
          <w:rFonts w:hint="eastAsia"/>
        </w:rPr>
        <w:t>：以下同じ）</w:t>
      </w:r>
    </w:p>
    <w:p w14:paraId="1E74DCC5" w14:textId="77777777" w:rsidR="00361778" w:rsidRDefault="00361778">
      <w:pPr>
        <w:adjustRightInd/>
        <w:ind w:left="722" w:hanging="722"/>
        <w:rPr>
          <w:rFonts w:ascii="ＭＳ 明朝" w:cs="Times New Roman"/>
        </w:rPr>
      </w:pPr>
      <w:r>
        <w:rPr>
          <w:rFonts w:hint="eastAsia"/>
        </w:rPr>
        <w:t xml:space="preserve">　　　→具体的には、</w:t>
      </w:r>
    </w:p>
    <w:p w14:paraId="04462D70" w14:textId="77777777" w:rsidR="00361778" w:rsidRDefault="00361778">
      <w:pPr>
        <w:adjustRightInd/>
        <w:ind w:left="722" w:hanging="722"/>
        <w:rPr>
          <w:rFonts w:ascii="ＭＳ 明朝" w:cs="Times New Roman"/>
        </w:rPr>
      </w:pPr>
      <w:r>
        <w:rPr>
          <w:rFonts w:hint="eastAsia"/>
        </w:rPr>
        <w:t xml:space="preserve">　　　　①事前運動の禁止</w:t>
      </w:r>
    </w:p>
    <w:p w14:paraId="1349DA30" w14:textId="77777777" w:rsidR="00361778" w:rsidRDefault="00361778">
      <w:pPr>
        <w:tabs>
          <w:tab w:val="left" w:pos="360"/>
        </w:tabs>
        <w:adjustRightInd/>
        <w:ind w:left="600" w:hanging="600"/>
        <w:rPr>
          <w:rFonts w:ascii="ＭＳ 明朝" w:cs="Times New Roman"/>
        </w:rPr>
      </w:pPr>
      <w:r>
        <w:rPr>
          <w:rFonts w:hint="eastAsia"/>
        </w:rPr>
        <w:t xml:space="preserve">　　　　②人気投票の公表の禁止</w:t>
      </w:r>
    </w:p>
    <w:p w14:paraId="13441545" w14:textId="77777777" w:rsidR="00361778" w:rsidRDefault="00361778">
      <w:pPr>
        <w:adjustRightInd/>
        <w:ind w:left="722" w:hanging="722"/>
        <w:rPr>
          <w:rFonts w:ascii="ＭＳ 明朝" w:cs="Times New Roman"/>
        </w:rPr>
      </w:pPr>
      <w:r>
        <w:rPr>
          <w:rFonts w:hint="eastAsia"/>
        </w:rPr>
        <w:t xml:space="preserve">　　　　③文書図画の頒布・掲示の制限</w:t>
      </w:r>
    </w:p>
    <w:p w14:paraId="35F0A387" w14:textId="77777777" w:rsidR="00361778" w:rsidRDefault="00361778">
      <w:pPr>
        <w:adjustRightInd/>
        <w:ind w:left="722" w:hanging="722"/>
        <w:rPr>
          <w:rFonts w:ascii="ＭＳ 明朝" w:cs="Times New Roman"/>
        </w:rPr>
      </w:pPr>
      <w:r>
        <w:rPr>
          <w:rFonts w:hint="eastAsia"/>
        </w:rPr>
        <w:t xml:space="preserve">　　　　④投票の秘密保持</w:t>
      </w:r>
    </w:p>
    <w:p w14:paraId="6BBE3301" w14:textId="77777777" w:rsidR="00361778" w:rsidRDefault="00361778">
      <w:pPr>
        <w:adjustRightInd/>
        <w:ind w:left="722" w:hanging="722"/>
        <w:rPr>
          <w:rFonts w:ascii="ＭＳ 明朝" w:cs="Times New Roman"/>
        </w:rPr>
      </w:pPr>
      <w:r>
        <w:rPr>
          <w:rFonts w:hint="eastAsia"/>
        </w:rPr>
        <w:t xml:space="preserve">　　　　⑤満</w:t>
      </w:r>
      <w:r>
        <w:rPr>
          <w:rFonts w:cs="Times New Roman"/>
        </w:rPr>
        <w:t>18</w:t>
      </w:r>
      <w:r>
        <w:rPr>
          <w:rFonts w:hint="eastAsia"/>
        </w:rPr>
        <w:t>歳未満の者の選挙運動の禁止　などの制限に留意する必要がある。</w:t>
      </w:r>
    </w:p>
    <w:p w14:paraId="7AB799B5" w14:textId="77777777" w:rsidR="00361778" w:rsidRDefault="00361778">
      <w:pPr>
        <w:adjustRightInd/>
        <w:ind w:left="480" w:hanging="480"/>
        <w:rPr>
          <w:rFonts w:ascii="ＭＳ 明朝" w:cs="Times New Roman"/>
        </w:rPr>
      </w:pPr>
      <w:r>
        <w:rPr>
          <w:rFonts w:hint="eastAsia"/>
        </w:rPr>
        <w:t>（２）このワークシートは上記「③文書図画の頒布・掲示の制限」に注意する必要がある。</w:t>
      </w:r>
    </w:p>
    <w:p w14:paraId="7090A7C4" w14:textId="77777777" w:rsidR="00361778" w:rsidRDefault="00361778">
      <w:pPr>
        <w:adjustRightInd/>
        <w:ind w:left="480" w:hanging="480"/>
        <w:rPr>
          <w:rFonts w:ascii="ＭＳ 明朝" w:cs="Times New Roman"/>
        </w:rPr>
      </w:pPr>
      <w:r>
        <w:rPr>
          <w:rFonts w:hint="eastAsia"/>
          <w:w w:val="66"/>
        </w:rPr>
        <w:t xml:space="preserve">　　「</w:t>
      </w:r>
      <w:r>
        <w:rPr>
          <w:rFonts w:hint="eastAsia"/>
        </w:rPr>
        <w:t>選挙運動期間中に，ビラやパンフレット，ポスターなどの選挙運動のために使用する文書図画を頒布・掲示することは公職選挙法上，制限されており，公職選挙法が認めた文書図画しか頒布・掲示することはできず，また，その枚数，頒布や掲示できる場所など様々な制限規定がある。そのため，下記のような点に配慮する必要がある。</w:t>
      </w:r>
    </w:p>
    <w:p w14:paraId="78810382" w14:textId="77777777" w:rsidR="00361778" w:rsidRDefault="00361778">
      <w:pPr>
        <w:adjustRightInd/>
        <w:ind w:left="722" w:hanging="722"/>
        <w:rPr>
          <w:rFonts w:ascii="ＭＳ 明朝" w:cs="Times New Roman"/>
        </w:rPr>
      </w:pPr>
      <w:r>
        <w:rPr>
          <w:rFonts w:hint="eastAsia"/>
        </w:rPr>
        <w:t xml:space="preserve">　　・各党の政策をまとめた冊子状の公約集（マニフェスト）は，選挙運動期間中は，一定の場所でしか頒布することができず，高等学校の教育活動において学校が配布することは公職選挙法第</w:t>
      </w:r>
      <w:r>
        <w:rPr>
          <w:rFonts w:cs="Times New Roman"/>
        </w:rPr>
        <w:t>142</w:t>
      </w:r>
      <w:r>
        <w:rPr>
          <w:rFonts w:hint="eastAsia"/>
        </w:rPr>
        <w:t>条の２に違反するおそれがある。そのため，</w:t>
      </w:r>
      <w:r>
        <w:rPr>
          <w:rFonts w:ascii="ＭＳ 明朝" w:eastAsia="ＭＳ ゴシック" w:cs="ＭＳ ゴシック" w:hint="eastAsia"/>
          <w:b/>
          <w:bCs/>
        </w:rPr>
        <w:t>公約集を学習活動で活用する際には，生徒が自ら街頭演説等の場で入手したり，ホームページ上からダウンロードして入手したりする必要がある。」</w:t>
      </w:r>
      <w:r>
        <w:rPr>
          <w:rFonts w:hint="eastAsia"/>
        </w:rPr>
        <w:t>（</w:t>
      </w:r>
      <w:r>
        <w:t>p.49</w:t>
      </w:r>
      <w:r>
        <w:rPr>
          <w:rFonts w:hint="eastAsia"/>
        </w:rPr>
        <w:t>）</w:t>
      </w:r>
    </w:p>
    <w:p w14:paraId="0870956E" w14:textId="77777777" w:rsidR="00361778" w:rsidRDefault="00361778">
      <w:pPr>
        <w:adjustRightInd/>
        <w:rPr>
          <w:rFonts w:ascii="ＭＳ 明朝" w:cs="Times New Roman"/>
        </w:rPr>
      </w:pPr>
      <w:r>
        <w:rPr>
          <w:rFonts w:ascii="ＭＳ ゴシック" w:hAnsi="ＭＳ ゴシック" w:cs="ＭＳ ゴシック"/>
          <w:b/>
          <w:bCs/>
          <w:color w:val="FF0000"/>
        </w:rPr>
        <w:t xml:space="preserve">      </w:t>
      </w:r>
      <w:r>
        <w:rPr>
          <w:rFonts w:ascii="ＭＳ 明朝" w:eastAsia="ＭＳ ゴシック" w:cs="ＭＳ ゴシック" w:hint="eastAsia"/>
          <w:b/>
          <w:bCs/>
          <w:color w:val="FF0000"/>
          <w:bdr w:val="single" w:sz="4" w:space="0" w:color="000000"/>
        </w:rPr>
        <w:t>→選挙期間中は、教員がマニフェストなどを用意してはいけない！</w:t>
      </w:r>
    </w:p>
    <w:p w14:paraId="62215288" w14:textId="77777777" w:rsidR="00361778" w:rsidRDefault="00361778">
      <w:pPr>
        <w:adjustRightInd/>
        <w:ind w:left="722" w:hanging="722"/>
        <w:rPr>
          <w:rFonts w:ascii="ＭＳ 明朝" w:cs="Times New Roman"/>
        </w:rPr>
      </w:pPr>
      <w:r>
        <w:rPr>
          <w:rFonts w:hint="eastAsia"/>
        </w:rPr>
        <w:t xml:space="preserve">　　「・また，</w:t>
      </w:r>
      <w:r>
        <w:rPr>
          <w:rFonts w:ascii="ＭＳ 明朝" w:eastAsia="ＭＳ ゴシック" w:cs="ＭＳ ゴシック" w:hint="eastAsia"/>
          <w:b/>
          <w:bCs/>
        </w:rPr>
        <w:t>新聞社等が作成する各党の政策が記載された選挙関連のサイト（いわゆる「まとめサイト」）は，一般的には選挙運動のために使用する文書図画には当たらないと考えられる。</w:t>
      </w:r>
      <w:r>
        <w:rPr>
          <w:rFonts w:hint="eastAsia"/>
        </w:rPr>
        <w:t>そのため，教員が生徒に対し，そのようなまとめサイトを印刷し，配布することは直ちに規制されるものではないことから，このような取扱いをすることも考えられる。」（</w:t>
      </w:r>
      <w:r>
        <w:t>p.49</w:t>
      </w:r>
      <w:r>
        <w:rPr>
          <w:rFonts w:hint="eastAsia"/>
        </w:rPr>
        <w:t>）</w:t>
      </w:r>
    </w:p>
    <w:p w14:paraId="336826BD" w14:textId="77777777" w:rsidR="00361778" w:rsidRDefault="00361778">
      <w:pPr>
        <w:adjustRightInd/>
        <w:ind w:left="722" w:hanging="722"/>
        <w:rPr>
          <w:rFonts w:ascii="ＭＳ 明朝" w:cs="Times New Roman"/>
        </w:rPr>
      </w:pPr>
      <w:r>
        <w:rPr>
          <w:rFonts w:ascii="ＭＳ 明朝" w:eastAsia="ＭＳ ゴシック" w:cs="ＭＳ ゴシック" w:hint="eastAsia"/>
          <w:b/>
          <w:bCs/>
          <w:color w:val="FF0000"/>
        </w:rPr>
        <w:t xml:space="preserve">　　　</w:t>
      </w:r>
      <w:r>
        <w:rPr>
          <w:rFonts w:ascii="ＭＳ 明朝" w:eastAsia="ＭＳ ゴシック" w:cs="ＭＳ ゴシック" w:hint="eastAsia"/>
          <w:b/>
          <w:bCs/>
          <w:color w:val="FF0000"/>
          <w:bdr w:val="single" w:sz="4" w:space="0" w:color="000000"/>
        </w:rPr>
        <w:t>→新聞などの「まとめ」を印刷、配布しての授業は大丈夫である。</w:t>
      </w:r>
    </w:p>
    <w:p w14:paraId="3DA2F9C0" w14:textId="77777777" w:rsidR="00361778" w:rsidRDefault="00361778">
      <w:pPr>
        <w:adjustRightInd/>
        <w:ind w:left="842" w:hanging="842"/>
        <w:rPr>
          <w:rFonts w:ascii="ＭＳ 明朝" w:cs="Times New Roman"/>
        </w:rPr>
      </w:pPr>
      <w:r>
        <w:rPr>
          <w:rFonts w:hint="eastAsia"/>
        </w:rPr>
        <w:t xml:space="preserve">　　「・なお，報道機関ではなく，</w:t>
      </w:r>
      <w:r>
        <w:rPr>
          <w:rFonts w:ascii="ＭＳ 明朝" w:eastAsia="ＭＳ ゴシック" w:cs="ＭＳ ゴシック" w:hint="eastAsia"/>
          <w:b/>
          <w:bCs/>
        </w:rPr>
        <w:t>教員が各政党の主要な部分における主張をまとめるような場合，各政党の主張を平等にまとめない限り，選挙運動のために使用する文書図画と認められるおそれがある。</w:t>
      </w:r>
      <w:r>
        <w:rPr>
          <w:rFonts w:hint="eastAsia"/>
        </w:rPr>
        <w:t>また，平等にまとめ，選挙運動用文書図画と認め</w:t>
      </w:r>
      <w:r>
        <w:rPr>
          <w:rFonts w:hint="eastAsia"/>
        </w:rPr>
        <w:lastRenderedPageBreak/>
        <w:t>られない場合であってもそれをプロジェクター等で投影し，生徒に見せる場合には，各政党の主張を平等に扱わない限り公職選挙法第</w:t>
      </w:r>
      <w:r>
        <w:rPr>
          <w:rFonts w:cs="Times New Roman"/>
        </w:rPr>
        <w:t xml:space="preserve">146 </w:t>
      </w:r>
      <w:r>
        <w:rPr>
          <w:rFonts w:hint="eastAsia"/>
        </w:rPr>
        <w:t>条に違反するおそれがある。」（</w:t>
      </w:r>
      <w:r>
        <w:t>p.49</w:t>
      </w:r>
      <w:r>
        <w:rPr>
          <w:rFonts w:hint="eastAsia"/>
        </w:rPr>
        <w:t>）</w:t>
      </w:r>
    </w:p>
    <w:p w14:paraId="30541377" w14:textId="77777777" w:rsidR="00361778" w:rsidRDefault="00361778">
      <w:pPr>
        <w:adjustRightInd/>
        <w:ind w:left="1202" w:hanging="1202"/>
        <w:rPr>
          <w:rFonts w:ascii="ＭＳ 明朝" w:cs="Times New Roman"/>
        </w:rPr>
      </w:pPr>
      <w:r>
        <w:rPr>
          <w:rFonts w:ascii="ＭＳ 明朝" w:eastAsia="ＭＳ ゴシック" w:cs="ＭＳ ゴシック" w:hint="eastAsia"/>
          <w:b/>
          <w:bCs/>
          <w:color w:val="FF0000"/>
        </w:rPr>
        <w:t xml:space="preserve">　　　　→</w:t>
      </w:r>
      <w:r>
        <w:rPr>
          <w:rFonts w:ascii="ＭＳ 明朝" w:eastAsia="ＭＳ ゴシック" w:cs="ＭＳ ゴシック" w:hint="eastAsia"/>
          <w:b/>
          <w:bCs/>
          <w:color w:val="FF0000"/>
          <w:u w:val="wave" w:color="000000"/>
        </w:rPr>
        <w:t>このワークシートはこの点に触れる恐れがある。</w:t>
      </w:r>
      <w:r>
        <w:rPr>
          <w:rFonts w:ascii="ＭＳ 明朝" w:eastAsia="ＭＳ ゴシック" w:cs="ＭＳ ゴシック" w:hint="eastAsia"/>
          <w:b/>
          <w:bCs/>
          <w:color w:val="FF0000"/>
        </w:rPr>
        <w:t>５ページの「各政党のマニフェスト比較」は、毎日新聞のまとめ一覧を、筆者がリライトしているからである。また後述するように、教員がさらに易しくリライトする場合は、この点に触れる可能性がある。</w:t>
      </w:r>
    </w:p>
    <w:p w14:paraId="247B9878" w14:textId="77777777" w:rsidR="00361778" w:rsidRDefault="00361778">
      <w:pPr>
        <w:adjustRightInd/>
        <w:ind w:left="962" w:hanging="962"/>
        <w:rPr>
          <w:rFonts w:ascii="ＭＳ 明朝" w:cs="Times New Roman"/>
        </w:rPr>
      </w:pPr>
      <w:r>
        <w:rPr>
          <w:rFonts w:hint="eastAsia"/>
          <w:w w:val="66"/>
        </w:rPr>
        <w:t xml:space="preserve">　　　　　「</w:t>
      </w:r>
      <w:r>
        <w:rPr>
          <w:rFonts w:hint="eastAsia"/>
        </w:rPr>
        <w:t>上述の留意点は，選挙運動期間中におけるものであるが，</w:t>
      </w:r>
      <w:r>
        <w:rPr>
          <w:rFonts w:ascii="ＭＳ 明朝" w:eastAsia="ＭＳ ゴシック" w:cs="ＭＳ ゴシック" w:hint="eastAsia"/>
          <w:b/>
          <w:bCs/>
        </w:rPr>
        <w:t>選挙運動期間外に過去の国政選挙の資料や現にホームページ上に掲載されている資料を活用して模擬選挙を行うことは，公職選挙法上，直ちに規制されるものではない。また，選挙運動期間外に教員が各政党の主要な部分における主張をまとめ，プロジェクター等で投影し，生徒に見せたり，生徒に配布したりすることも，公職選挙法上，直ちに規制されるものではない。</w:t>
      </w:r>
      <w:r>
        <w:rPr>
          <w:rFonts w:hint="eastAsia"/>
        </w:rPr>
        <w:t>なお，この場合でも教員が教育目的で作成・配布する教材については，教育基本法第</w:t>
      </w:r>
      <w:r>
        <w:rPr>
          <w:rFonts w:cs="Times New Roman"/>
        </w:rPr>
        <w:t xml:space="preserve">14 </w:t>
      </w:r>
      <w:r>
        <w:rPr>
          <w:rFonts w:hint="eastAsia"/>
        </w:rPr>
        <w:t>条第２項を踏まえ，政治的中立が確保されるようにすべきことは他でも言及しているとおりである。」（</w:t>
      </w:r>
      <w:r>
        <w:t>pp.49~50</w:t>
      </w:r>
      <w:r>
        <w:rPr>
          <w:rFonts w:hint="eastAsia"/>
        </w:rPr>
        <w:t>）</w:t>
      </w:r>
    </w:p>
    <w:p w14:paraId="3494FE13" w14:textId="77777777" w:rsidR="00361778" w:rsidRDefault="00361778">
      <w:pPr>
        <w:adjustRightInd/>
        <w:ind w:left="1202" w:hanging="1202"/>
        <w:rPr>
          <w:rFonts w:ascii="ＭＳ 明朝" w:cs="Times New Roman"/>
        </w:rPr>
      </w:pPr>
      <w:r>
        <w:rPr>
          <w:rFonts w:ascii="ＭＳ 明朝" w:eastAsia="ＭＳ ゴシック" w:cs="ＭＳ ゴシック" w:hint="eastAsia"/>
          <w:b/>
          <w:bCs/>
          <w:color w:val="FF0000"/>
        </w:rPr>
        <w:t xml:space="preserve">　　　　→選挙期間外は、教員がダウンロードして配布しても、まとめを作成して配布しても大丈夫である。そちらの方が、自由度が高く、また選挙結果との比較もすぐ行えるので授業としてはやりやすいと考えられる。</w:t>
      </w:r>
    </w:p>
    <w:p w14:paraId="52E3E782" w14:textId="77777777" w:rsidR="00361778" w:rsidRDefault="00361778">
      <w:pPr>
        <w:adjustRightInd/>
        <w:rPr>
          <w:rFonts w:ascii="ＭＳ 明朝" w:cs="Times New Roman"/>
        </w:rPr>
      </w:pPr>
    </w:p>
    <w:p w14:paraId="0C354072" w14:textId="77777777" w:rsidR="00361778" w:rsidRPr="00361778" w:rsidRDefault="00361778">
      <w:pPr>
        <w:adjustRightInd/>
        <w:rPr>
          <w:rFonts w:asciiTheme="majorEastAsia" w:eastAsiaTheme="majorEastAsia" w:hAnsiTheme="majorEastAsia" w:cs="Times New Roman"/>
          <w:u w:val="double"/>
        </w:rPr>
      </w:pPr>
      <w:r w:rsidRPr="00361778">
        <w:rPr>
          <w:rFonts w:asciiTheme="majorEastAsia" w:eastAsiaTheme="majorEastAsia" w:hAnsiTheme="majorEastAsia" w:hint="eastAsia"/>
          <w:u w:val="double"/>
        </w:rPr>
        <w:t>２．ワークシート活用の注意</w:t>
      </w:r>
    </w:p>
    <w:p w14:paraId="71F5FD33" w14:textId="77777777" w:rsidR="00361778" w:rsidRDefault="00361778">
      <w:pPr>
        <w:adjustRightInd/>
        <w:ind w:left="480" w:hanging="480"/>
        <w:rPr>
          <w:rFonts w:ascii="ＭＳ 明朝" w:cs="Times New Roman"/>
        </w:rPr>
      </w:pPr>
      <w:r>
        <w:rPr>
          <w:rFonts w:hint="eastAsia"/>
        </w:rPr>
        <w:t>（１）このワークシートは、大体どのレベルの高校でも実践できる内容だが、５ページの「各政党のマニフェスト比較」だけは、学校ごとによってリライトする必要がある。このワークシートのまま利用できるのは、トップ２０％位の進学校で、政治・経済が既習の生徒だけだと考えられる。それ以外の高校では、５ページの「比較」をさらに易しく書き直して使用したり（この点が選挙期間中には注意が絶対必要である）、教員が説明しながら〇×をつけさせたり、コンピュータ室などで生徒が調べながら〇×をつけたりするなどの工夫が必要である。</w:t>
      </w:r>
    </w:p>
    <w:p w14:paraId="04FF78AE" w14:textId="77777777" w:rsidR="00361778" w:rsidRDefault="00361778">
      <w:pPr>
        <w:adjustRightInd/>
        <w:ind w:left="480" w:hanging="480"/>
        <w:rPr>
          <w:rFonts w:ascii="ＭＳ 明朝" w:cs="Times New Roman"/>
        </w:rPr>
      </w:pPr>
      <w:r>
        <w:rPr>
          <w:rFonts w:hint="eastAsia"/>
        </w:rPr>
        <w:t>（２）このワークシートは、真ん中より下のレベルの高校でも使用できるよう作成してある。そのため汎用性は高いが、上位～中堅校の学校では、１時間では時間が余ったり、生徒にとっては内容が易しすぎることもある。その際は、適度な発問や補足説明を行うべきである。実例を幾つか挙げる</w:t>
      </w:r>
    </w:p>
    <w:p w14:paraId="57C55518" w14:textId="77777777" w:rsidR="00361778" w:rsidRDefault="00361778">
      <w:pPr>
        <w:adjustRightInd/>
        <w:ind w:left="480" w:hanging="480"/>
        <w:rPr>
          <w:rFonts w:ascii="ＭＳ 明朝" w:cs="Times New Roman"/>
        </w:rPr>
      </w:pPr>
      <w:r>
        <w:rPr>
          <w:rFonts w:hint="eastAsia"/>
        </w:rPr>
        <w:t xml:space="preserve">　</w:t>
      </w:r>
      <w:r>
        <w:rPr>
          <w:rFonts w:ascii="ＭＳ 明朝" w:eastAsia="ＭＳ ゴシック" w:cs="ＭＳ ゴシック" w:hint="eastAsia"/>
          <w:bdr w:val="single" w:sz="12" w:space="0" w:color="000000"/>
        </w:rPr>
        <w:t>導入事例</w:t>
      </w:r>
    </w:p>
    <w:p w14:paraId="485E682A" w14:textId="77777777" w:rsidR="00361778" w:rsidRDefault="00361778">
      <w:pPr>
        <w:adjustRightInd/>
        <w:ind w:left="480" w:hanging="480"/>
        <w:rPr>
          <w:rFonts w:ascii="ＭＳ 明朝" w:cs="Times New Roman"/>
        </w:rPr>
      </w:pPr>
      <w:r>
        <w:rPr>
          <w:rFonts w:hint="eastAsia"/>
        </w:rPr>
        <w:t xml:space="preserve">　①一番はじめに「選挙はなぜ必要なのか」を発問し、「自分たちの将来を決める行為」であることを、例えば「累積国債残高８００兆円以上」＝「一人あたりの借金６４０万円近く」＝「このまま借金を増やしてよいのか」＝「予算編成を行う議員を決めるのが選挙」であることを理解させ、投票の意識付けを行う。</w:t>
      </w:r>
    </w:p>
    <w:p w14:paraId="68CEE30E" w14:textId="77777777" w:rsidR="00361778" w:rsidRDefault="00361778">
      <w:pPr>
        <w:adjustRightInd/>
        <w:ind w:left="480" w:hanging="480"/>
        <w:rPr>
          <w:rFonts w:ascii="ＭＳ 明朝" w:cs="Times New Roman"/>
        </w:rPr>
      </w:pPr>
      <w:r>
        <w:rPr>
          <w:rFonts w:hint="eastAsia"/>
        </w:rPr>
        <w:t xml:space="preserve">　②２ページの「各国の選挙権年齢の比較」のところで、</w:t>
      </w:r>
    </w:p>
    <w:p w14:paraId="63E97B15" w14:textId="77777777" w:rsidR="00361778" w:rsidRDefault="00361778">
      <w:pPr>
        <w:adjustRightInd/>
        <w:ind w:left="480" w:hanging="480"/>
        <w:rPr>
          <w:rFonts w:ascii="ＭＳ 明朝" w:cs="Times New Roman"/>
        </w:rPr>
      </w:pPr>
      <w:r>
        <w:rPr>
          <w:rFonts w:hint="eastAsia"/>
        </w:rPr>
        <w:t xml:space="preserve">　　「統計がある１９２カ国中、選挙権が１８歳以下の国は何カ国？」</w:t>
      </w:r>
    </w:p>
    <w:p w14:paraId="0F23BD28" w14:textId="77777777" w:rsidR="00361778" w:rsidRDefault="00361778">
      <w:pPr>
        <w:adjustRightInd/>
        <w:rPr>
          <w:rFonts w:ascii="ＭＳ 明朝" w:cs="Times New Roman"/>
        </w:rPr>
      </w:pPr>
      <w:r>
        <w:rPr>
          <w:rFonts w:hint="eastAsia"/>
        </w:rPr>
        <w:t xml:space="preserve">　　　→「１７０カ国」</w:t>
      </w:r>
    </w:p>
    <w:p w14:paraId="691C69EA" w14:textId="77777777" w:rsidR="00361778" w:rsidRDefault="00361778">
      <w:pPr>
        <w:adjustRightInd/>
        <w:rPr>
          <w:rFonts w:ascii="ＭＳ 明朝" w:cs="Times New Roman"/>
        </w:rPr>
      </w:pPr>
      <w:r>
        <w:rPr>
          <w:rFonts w:hint="eastAsia"/>
        </w:rPr>
        <w:t xml:space="preserve">　　「そのうち最低年齢の国は何歳？」</w:t>
      </w:r>
    </w:p>
    <w:p w14:paraId="021833AB" w14:textId="77777777" w:rsidR="00361778" w:rsidRDefault="00361778">
      <w:pPr>
        <w:adjustRightInd/>
        <w:rPr>
          <w:rFonts w:ascii="ＭＳ 明朝" w:cs="Times New Roman"/>
        </w:rPr>
      </w:pPr>
      <w:r>
        <w:rPr>
          <w:rFonts w:hint="eastAsia"/>
        </w:rPr>
        <w:t xml:space="preserve">　　　→１６歳</w:t>
      </w:r>
    </w:p>
    <w:p w14:paraId="7582CBAF" w14:textId="77777777" w:rsidR="00361778" w:rsidRDefault="00361778">
      <w:pPr>
        <w:adjustRightInd/>
        <w:rPr>
          <w:rFonts w:ascii="ＭＳ 明朝" w:cs="Times New Roman"/>
        </w:rPr>
      </w:pPr>
      <w:r>
        <w:rPr>
          <w:rFonts w:cs="Times New Roman"/>
        </w:rPr>
        <w:t xml:space="preserve">     </w:t>
      </w:r>
      <w:r>
        <w:rPr>
          <w:rFonts w:hint="eastAsia"/>
        </w:rPr>
        <w:t>「１６歳選挙権の国はどこ？」</w:t>
      </w:r>
    </w:p>
    <w:p w14:paraId="35CCEAFE" w14:textId="77777777" w:rsidR="00361778" w:rsidRDefault="00361778">
      <w:pPr>
        <w:adjustRightInd/>
        <w:rPr>
          <w:rFonts w:ascii="ＭＳ 明朝" w:cs="Times New Roman"/>
        </w:rPr>
      </w:pPr>
      <w:r>
        <w:rPr>
          <w:rFonts w:hint="eastAsia"/>
        </w:rPr>
        <w:t xml:space="preserve">　　　→ブラジル、オーストリア、キューバ、キルギス、ニカラグア</w:t>
      </w:r>
    </w:p>
    <w:p w14:paraId="115FEAC4" w14:textId="77777777" w:rsidR="00361778" w:rsidRDefault="00361778">
      <w:pPr>
        <w:adjustRightInd/>
        <w:rPr>
          <w:rFonts w:ascii="ＭＳ 明朝" w:cs="Times New Roman"/>
        </w:rPr>
      </w:pPr>
      <w:r>
        <w:rPr>
          <w:rFonts w:hint="eastAsia"/>
        </w:rPr>
        <w:t xml:space="preserve">　　　「地図で場所を確認してみよう」</w:t>
      </w:r>
    </w:p>
    <w:p w14:paraId="27BE2889" w14:textId="77777777" w:rsidR="00361778" w:rsidRDefault="00361778">
      <w:pPr>
        <w:adjustRightInd/>
        <w:rPr>
          <w:rFonts w:ascii="ＭＳ 明朝" w:cs="Times New Roman"/>
        </w:rPr>
      </w:pPr>
      <w:r>
        <w:rPr>
          <w:rFonts w:hint="eastAsia"/>
        </w:rPr>
        <w:t xml:space="preserve">　　　　などの発問や作業を行わせる。</w:t>
      </w:r>
    </w:p>
    <w:p w14:paraId="4525E69D" w14:textId="77777777" w:rsidR="00361778" w:rsidRDefault="00361778">
      <w:pPr>
        <w:adjustRightInd/>
        <w:ind w:left="480" w:hanging="480"/>
        <w:rPr>
          <w:rFonts w:ascii="ＭＳ 明朝" w:cs="Times New Roman"/>
        </w:rPr>
      </w:pPr>
      <w:r>
        <w:rPr>
          <w:rFonts w:hint="eastAsia"/>
        </w:rPr>
        <w:t xml:space="preserve">　③２ページの「主権者」のところで、「主権者とは何か」を発問し、「国家の政治（在り方）を、最終的に決めることが出来る人」という抽象的な答えを引き出したあと、株式会社の株主が国民、株主総会の投票等が選挙、取り締まり役達が議員や内閣と説明し、主権者が「株主総会」＝「選挙」を通じてコントロールすることを確認させる。</w:t>
      </w:r>
    </w:p>
    <w:p w14:paraId="5A0CDC84" w14:textId="77777777" w:rsidR="00361778" w:rsidRDefault="00787D5A">
      <w:pPr>
        <w:adjustRightInd/>
        <w:ind w:left="480" w:hanging="480"/>
        <w:rPr>
          <w:rFonts w:ascii="ＭＳ 明朝" w:cs="Times New Roman"/>
        </w:rPr>
      </w:pPr>
      <w:r>
        <w:rPr>
          <w:noProof/>
        </w:rPr>
        <w:drawing>
          <wp:anchor distT="0" distB="0" distL="72000" distR="72000" simplePos="0" relativeHeight="251658240" behindDoc="0" locked="0" layoutInCell="0" allowOverlap="1" wp14:anchorId="7DBF3984" wp14:editId="2C0E894C">
            <wp:simplePos x="0" y="0"/>
            <wp:positionH relativeFrom="margin">
              <wp:posOffset>0</wp:posOffset>
            </wp:positionH>
            <wp:positionV relativeFrom="paragraph">
              <wp:posOffset>177800</wp:posOffset>
            </wp:positionV>
            <wp:extent cx="6120130" cy="4318000"/>
            <wp:effectExtent l="0" t="0" r="1270" b="0"/>
            <wp:wrapSquare wrapText="bothSides"/>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778">
        <w:rPr>
          <w:rFonts w:cs="Times New Roman"/>
        </w:rPr>
        <w:t xml:space="preserve">    </w:t>
      </w:r>
      <w:r w:rsidR="00361778">
        <w:rPr>
          <w:rFonts w:hint="eastAsia"/>
        </w:rPr>
        <w:t>☆株主（主権者）が上にいるところが味噌！</w:t>
      </w:r>
    </w:p>
    <w:p w14:paraId="3A7498BB" w14:textId="77777777" w:rsidR="00361778" w:rsidRDefault="00361778">
      <w:pPr>
        <w:adjustRightInd/>
        <w:ind w:left="480" w:hanging="480"/>
        <w:rPr>
          <w:rFonts w:ascii="ＭＳ 明朝" w:cs="Times New Roman"/>
        </w:rPr>
      </w:pPr>
      <w:r>
        <w:rPr>
          <w:rFonts w:hint="eastAsia"/>
        </w:rPr>
        <w:t xml:space="preserve">　④３ページの「お年寄りの、お年寄りによる、お年寄りの</w:t>
      </w:r>
      <w:r>
        <w:rPr>
          <w:rFonts w:hint="eastAsia"/>
          <w:w w:val="66"/>
        </w:rPr>
        <w:t xml:space="preserve">　</w:t>
      </w:r>
      <w:r>
        <w:rPr>
          <w:rFonts w:hint="eastAsia"/>
        </w:rPr>
        <w:t>ための政治」は誰の言葉のパロディか発問する。</w:t>
      </w:r>
    </w:p>
    <w:p w14:paraId="2614238A" w14:textId="77777777" w:rsidR="00361778" w:rsidRDefault="00361778">
      <w:pPr>
        <w:adjustRightInd/>
        <w:ind w:left="360" w:hanging="360"/>
        <w:rPr>
          <w:rFonts w:ascii="ＭＳ 明朝" w:cs="Times New Roman"/>
        </w:rPr>
      </w:pPr>
      <w:r>
        <w:rPr>
          <w:rFonts w:hint="eastAsia"/>
        </w:rPr>
        <w:t>（３）この「ワークシート」の目標は、「どのように投票先を選んだらよいか分からないので棄権する若者達」を防ぐことである。</w:t>
      </w:r>
    </w:p>
    <w:p w14:paraId="6DA4244B" w14:textId="77777777" w:rsidR="00361778" w:rsidRDefault="00361778">
      <w:pPr>
        <w:adjustRightInd/>
        <w:ind w:left="360" w:hanging="360"/>
        <w:rPr>
          <w:rFonts w:ascii="ＭＳ 明朝" w:cs="Times New Roman"/>
        </w:rPr>
      </w:pPr>
      <w:r>
        <w:rPr>
          <w:rFonts w:hint="eastAsia"/>
        </w:rPr>
        <w:t xml:space="preserve">　　　次ページの資料は、宮崎県の選挙管理員会</w:t>
      </w:r>
      <w:r w:rsidR="007610BC">
        <w:rPr>
          <w:rFonts w:hint="eastAsia"/>
        </w:rPr>
        <w:t>（注</w:t>
      </w:r>
      <w:r w:rsidR="007610BC">
        <w:t>1</w:t>
      </w:r>
      <w:r w:rsidR="007610BC">
        <w:rPr>
          <w:rFonts w:hint="eastAsia"/>
        </w:rPr>
        <w:t>）</w:t>
      </w:r>
      <w:r>
        <w:rPr>
          <w:rFonts w:hint="eastAsia"/>
        </w:rPr>
        <w:t>が県内のすべての高校生３万人以上にとったアンケートの結果である。この回答は、「あなたは１８歳選挙権に賛成ですか、反対ですか」を尋ね、「反対」と答えた高校生に理由を答えてもらったものである。</w:t>
      </w:r>
    </w:p>
    <w:p w14:paraId="4D11562B" w14:textId="77777777" w:rsidR="00361778" w:rsidRDefault="00361778">
      <w:pPr>
        <w:adjustRightInd/>
        <w:ind w:left="360" w:hanging="360"/>
        <w:rPr>
          <w:rFonts w:ascii="ＭＳ 明朝" w:cs="Times New Roman"/>
        </w:rPr>
      </w:pPr>
      <w:r>
        <w:rPr>
          <w:rFonts w:hint="eastAsia"/>
        </w:rPr>
        <w:t xml:space="preserve">　　回答の１位、２位は「知識がない」「判断力がない」であり、若者は真面目すぎるために、すべての政党のマニフェストを理解していないと投票してはいけないと思っているようである。そのハードルを下げる教材がこの「ワークシート」である。</w:t>
      </w:r>
    </w:p>
    <w:p w14:paraId="2D239274" w14:textId="77777777" w:rsidR="00361778" w:rsidRPr="007610BC" w:rsidRDefault="00787D5A" w:rsidP="007610BC">
      <w:pPr>
        <w:adjustRightInd/>
        <w:ind w:left="360" w:hanging="360"/>
      </w:pPr>
      <w:r>
        <w:rPr>
          <w:noProof/>
        </w:rPr>
        <w:drawing>
          <wp:anchor distT="0" distB="0" distL="72000" distR="72000" simplePos="0" relativeHeight="251659264" behindDoc="0" locked="0" layoutInCell="0" allowOverlap="1" wp14:anchorId="44B5E454" wp14:editId="11053B71">
            <wp:simplePos x="0" y="0"/>
            <wp:positionH relativeFrom="margin">
              <wp:posOffset>63500</wp:posOffset>
            </wp:positionH>
            <wp:positionV relativeFrom="paragraph">
              <wp:posOffset>1209675</wp:posOffset>
            </wp:positionV>
            <wp:extent cx="6043930" cy="3479165"/>
            <wp:effectExtent l="0" t="0" r="1270" b="635"/>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a:extLst>
                        <a:ext uri="{28A0092B-C50C-407E-A947-70E740481C1C}">
                          <a14:useLocalDpi xmlns:a14="http://schemas.microsoft.com/office/drawing/2010/main" val="0"/>
                        </a:ext>
                      </a:extLst>
                    </a:blip>
                    <a:srcRect r="-23"/>
                    <a:stretch>
                      <a:fillRect/>
                    </a:stretch>
                  </pic:blipFill>
                  <pic:spPr bwMode="auto">
                    <a:xfrm>
                      <a:off x="0" y="0"/>
                      <a:ext cx="6043930" cy="347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778">
        <w:rPr>
          <w:rFonts w:hint="eastAsia"/>
        </w:rPr>
        <w:t xml:space="preserve">　　そのため、公開授業などで、教室内に先生などが複数いたら、その先生達に「先生方は、前回の選挙の時、いくつくらいの争点を比較して投票先を聞きましたか？」と発問し、多くの大人は、１～２か多くても３～４位の争点しか比較していないことを生徒に見せ、安心させることも必要である。もし、教室に大人がいないならば、家に帰ってから保護者に質問させるとよい。</w:t>
      </w:r>
    </w:p>
    <w:p w14:paraId="48B63605" w14:textId="77777777" w:rsidR="007610BC" w:rsidRPr="007610BC" w:rsidRDefault="007610BC" w:rsidP="007610BC">
      <w:pPr>
        <w:adjustRightInd/>
        <w:rPr>
          <w:sz w:val="20"/>
          <w:szCs w:val="20"/>
        </w:rPr>
      </w:pPr>
      <w:r>
        <w:rPr>
          <w:rFonts w:hint="eastAsia"/>
          <w:sz w:val="20"/>
          <w:szCs w:val="20"/>
        </w:rPr>
        <w:t>（注</w:t>
      </w:r>
      <w:r>
        <w:rPr>
          <w:sz w:val="20"/>
          <w:szCs w:val="20"/>
        </w:rPr>
        <w:t>1</w:t>
      </w:r>
      <w:r>
        <w:rPr>
          <w:rFonts w:hint="eastAsia"/>
          <w:sz w:val="20"/>
          <w:szCs w:val="20"/>
        </w:rPr>
        <w:t>）</w:t>
      </w:r>
      <w:r w:rsidRPr="007610BC">
        <w:rPr>
          <w:rFonts w:hint="eastAsia"/>
          <w:sz w:val="20"/>
          <w:szCs w:val="20"/>
        </w:rPr>
        <w:t>「もうすぐ有権者！高校生</w:t>
      </w:r>
      <w:r w:rsidRPr="007610BC">
        <w:rPr>
          <w:sz w:val="20"/>
          <w:szCs w:val="20"/>
        </w:rPr>
        <w:t>3</w:t>
      </w:r>
      <w:r w:rsidRPr="007610BC">
        <w:rPr>
          <w:rFonts w:hint="eastAsia"/>
          <w:sz w:val="20"/>
          <w:szCs w:val="20"/>
        </w:rPr>
        <w:t>万人アンケート」（宮崎県選挙管理委員会実施）</w:t>
      </w:r>
    </w:p>
    <w:p w14:paraId="11433B68" w14:textId="77777777" w:rsidR="007610BC" w:rsidRPr="007610BC" w:rsidRDefault="007610BC" w:rsidP="007610BC">
      <w:pPr>
        <w:adjustRightInd/>
        <w:ind w:left="360" w:hanging="360"/>
        <w:rPr>
          <w:sz w:val="20"/>
          <w:szCs w:val="20"/>
        </w:rPr>
      </w:pPr>
      <w:r>
        <w:rPr>
          <w:rFonts w:hint="eastAsia"/>
          <w:sz w:val="20"/>
          <w:szCs w:val="20"/>
        </w:rPr>
        <w:t xml:space="preserve">　　　　</w:t>
      </w:r>
      <w:r w:rsidRPr="007610BC">
        <w:rPr>
          <w:rFonts w:hint="eastAsia"/>
          <w:sz w:val="20"/>
          <w:szCs w:val="20"/>
        </w:rPr>
        <w:t>（</w:t>
      </w:r>
      <w:hyperlink r:id="rId8" w:history="1">
        <w:r w:rsidRPr="007610BC">
          <w:rPr>
            <w:rStyle w:val="a3"/>
            <w:rFonts w:cs="ＭＳ 明朝"/>
            <w:sz w:val="20"/>
            <w:szCs w:val="20"/>
          </w:rPr>
          <w:t>http://www.pref.miyazaki.lg.jp/senkyo/kense/senkyo/enquete30000.html</w:t>
        </w:r>
      </w:hyperlink>
      <w:r w:rsidRPr="007610BC">
        <w:rPr>
          <w:rFonts w:hint="eastAsia"/>
          <w:sz w:val="20"/>
          <w:szCs w:val="20"/>
        </w:rPr>
        <w:t>）</w:t>
      </w:r>
    </w:p>
    <w:p w14:paraId="5B4AB33C" w14:textId="77777777" w:rsidR="007610BC" w:rsidRPr="007610BC" w:rsidRDefault="007610BC" w:rsidP="007610BC">
      <w:pPr>
        <w:adjustRightInd/>
        <w:ind w:left="360"/>
        <w:rPr>
          <w:rFonts w:ascii="ＭＳ 明朝" w:cs="Times New Roman"/>
          <w:sz w:val="20"/>
          <w:szCs w:val="20"/>
        </w:rPr>
      </w:pPr>
      <w:r w:rsidRPr="007610BC">
        <w:rPr>
          <w:rFonts w:ascii="ＭＳ 明朝" w:cs="Times New Roman" w:hint="eastAsia"/>
          <w:sz w:val="20"/>
          <w:szCs w:val="20"/>
        </w:rPr>
        <w:t>調査時期：平成</w:t>
      </w:r>
      <w:r w:rsidRPr="007610BC">
        <w:rPr>
          <w:rFonts w:ascii="ＭＳ 明朝" w:cs="Times New Roman"/>
          <w:sz w:val="20"/>
          <w:szCs w:val="20"/>
        </w:rPr>
        <w:t>27</w:t>
      </w:r>
      <w:r w:rsidRPr="007610BC">
        <w:rPr>
          <w:rFonts w:ascii="ＭＳ 明朝" w:cs="Times New Roman" w:hint="eastAsia"/>
          <w:sz w:val="20"/>
          <w:szCs w:val="20"/>
        </w:rPr>
        <w:t>年</w:t>
      </w:r>
      <w:r w:rsidRPr="007610BC">
        <w:rPr>
          <w:rFonts w:ascii="ＭＳ 明朝" w:cs="Times New Roman"/>
          <w:sz w:val="20"/>
          <w:szCs w:val="20"/>
        </w:rPr>
        <w:t>10</w:t>
      </w:r>
      <w:r w:rsidRPr="007610BC">
        <w:rPr>
          <w:rFonts w:ascii="ＭＳ 明朝" w:cs="Times New Roman" w:hint="eastAsia"/>
          <w:sz w:val="20"/>
          <w:szCs w:val="20"/>
        </w:rPr>
        <w:t>月</w:t>
      </w:r>
    </w:p>
    <w:p w14:paraId="5BCAF650" w14:textId="77777777" w:rsidR="007610BC" w:rsidRPr="007610BC" w:rsidRDefault="007610BC" w:rsidP="007610BC">
      <w:pPr>
        <w:adjustRightInd/>
        <w:ind w:left="360"/>
        <w:rPr>
          <w:rFonts w:ascii="ＭＳ 明朝" w:cs="Times New Roman"/>
          <w:sz w:val="20"/>
          <w:szCs w:val="20"/>
        </w:rPr>
      </w:pPr>
      <w:r w:rsidRPr="007610BC">
        <w:rPr>
          <w:rFonts w:ascii="ＭＳ 明朝" w:cs="Times New Roman" w:hint="eastAsia"/>
          <w:sz w:val="20"/>
          <w:szCs w:val="20"/>
        </w:rPr>
        <w:t>調査対象：</w:t>
      </w:r>
      <w:r w:rsidRPr="007610BC">
        <w:rPr>
          <w:rFonts w:ascii="ＭＳ 明朝" w:cs="Times New Roman"/>
          <w:sz w:val="20"/>
          <w:szCs w:val="20"/>
        </w:rPr>
        <w:t>54</w:t>
      </w:r>
      <w:r w:rsidRPr="007610BC">
        <w:rPr>
          <w:rFonts w:ascii="ＭＳ 明朝" w:cs="Times New Roman" w:hint="eastAsia"/>
          <w:sz w:val="20"/>
          <w:szCs w:val="20"/>
        </w:rPr>
        <w:t xml:space="preserve">校　</w:t>
      </w:r>
      <w:r w:rsidRPr="007610BC">
        <w:rPr>
          <w:rFonts w:ascii="ＭＳ 明朝" w:cs="Times New Roman"/>
          <w:sz w:val="20"/>
          <w:szCs w:val="20"/>
        </w:rPr>
        <w:t>32,482</w:t>
      </w:r>
      <w:r w:rsidRPr="007610BC">
        <w:rPr>
          <w:rFonts w:ascii="ＭＳ 明朝" w:cs="Times New Roman" w:hint="eastAsia"/>
          <w:sz w:val="20"/>
          <w:szCs w:val="20"/>
        </w:rPr>
        <w:t>人（県内の全高校生）</w:t>
      </w:r>
    </w:p>
    <w:p w14:paraId="14583C06" w14:textId="77777777" w:rsidR="007610BC" w:rsidRPr="007610BC" w:rsidRDefault="007610BC" w:rsidP="007610BC">
      <w:pPr>
        <w:adjustRightInd/>
        <w:ind w:left="360" w:hanging="360"/>
        <w:rPr>
          <w:rFonts w:ascii="ＭＳ 明朝" w:cs="Times New Roman"/>
          <w:sz w:val="20"/>
          <w:szCs w:val="20"/>
        </w:rPr>
      </w:pPr>
      <w:r w:rsidRPr="007610BC">
        <w:rPr>
          <w:rFonts w:ascii="ＭＳ 明朝" w:cs="Times New Roman" w:hint="eastAsia"/>
          <w:sz w:val="20"/>
          <w:szCs w:val="20"/>
        </w:rPr>
        <w:t xml:space="preserve">　（内訳：</w:t>
      </w:r>
      <w:r>
        <w:rPr>
          <w:rFonts w:ascii="ＭＳ 明朝" w:cs="Times New Roman" w:hint="eastAsia"/>
          <w:sz w:val="20"/>
          <w:szCs w:val="20"/>
        </w:rPr>
        <w:t>県立高</w:t>
      </w:r>
      <w:r w:rsidRPr="007610BC">
        <w:rPr>
          <w:rFonts w:ascii="ＭＳ 明朝" w:cs="Times New Roman"/>
          <w:sz w:val="20"/>
          <w:szCs w:val="20"/>
        </w:rPr>
        <w:t>38</w:t>
      </w:r>
      <w:r w:rsidRPr="007610BC">
        <w:rPr>
          <w:rFonts w:ascii="ＭＳ 明朝" w:cs="Times New Roman" w:hint="eastAsia"/>
          <w:sz w:val="20"/>
          <w:szCs w:val="20"/>
        </w:rPr>
        <w:t>校，</w:t>
      </w:r>
      <w:r>
        <w:rPr>
          <w:rFonts w:ascii="ＭＳ 明朝" w:cs="Times New Roman" w:hint="eastAsia"/>
          <w:sz w:val="20"/>
          <w:szCs w:val="20"/>
        </w:rPr>
        <w:t>私立高</w:t>
      </w:r>
      <w:r w:rsidRPr="007610BC">
        <w:rPr>
          <w:rFonts w:ascii="ＭＳ 明朝" w:cs="Times New Roman"/>
          <w:sz w:val="20"/>
          <w:szCs w:val="20"/>
        </w:rPr>
        <w:t>14</w:t>
      </w:r>
      <w:r w:rsidRPr="007610BC">
        <w:rPr>
          <w:rFonts w:ascii="ＭＳ 明朝" w:cs="Times New Roman" w:hint="eastAsia"/>
          <w:sz w:val="20"/>
          <w:szCs w:val="20"/>
        </w:rPr>
        <w:t>校，中等教育学校</w:t>
      </w:r>
      <w:r>
        <w:rPr>
          <w:rFonts w:ascii="ＭＳ 明朝" w:cs="Times New Roman"/>
          <w:sz w:val="20"/>
          <w:szCs w:val="20"/>
        </w:rPr>
        <w:t>1</w:t>
      </w:r>
      <w:r>
        <w:rPr>
          <w:rFonts w:ascii="ＭＳ 明朝" w:cs="Times New Roman" w:hint="eastAsia"/>
          <w:sz w:val="20"/>
          <w:szCs w:val="20"/>
        </w:rPr>
        <w:t>校</w:t>
      </w:r>
      <w:r w:rsidRPr="007610BC">
        <w:rPr>
          <w:rFonts w:ascii="ＭＳ 明朝" w:cs="Times New Roman" w:hint="eastAsia"/>
          <w:sz w:val="20"/>
          <w:szCs w:val="20"/>
        </w:rPr>
        <w:t>・後期課程，</w:t>
      </w:r>
      <w:r>
        <w:rPr>
          <w:rFonts w:ascii="ＭＳ 明朝" w:cs="Times New Roman" w:hint="eastAsia"/>
          <w:sz w:val="20"/>
          <w:szCs w:val="20"/>
        </w:rPr>
        <w:t>工業高</w:t>
      </w:r>
      <w:r w:rsidRPr="007610BC">
        <w:rPr>
          <w:rFonts w:ascii="ＭＳ 明朝" w:cs="Times New Roman" w:hint="eastAsia"/>
          <w:sz w:val="20"/>
          <w:szCs w:val="20"/>
        </w:rPr>
        <w:t>専</w:t>
      </w:r>
      <w:r>
        <w:rPr>
          <w:rFonts w:ascii="ＭＳ 明朝" w:cs="Times New Roman"/>
          <w:sz w:val="20"/>
          <w:szCs w:val="20"/>
        </w:rPr>
        <w:t>1</w:t>
      </w:r>
      <w:r>
        <w:rPr>
          <w:rFonts w:ascii="ＭＳ 明朝" w:cs="Times New Roman" w:hint="eastAsia"/>
          <w:sz w:val="20"/>
          <w:szCs w:val="20"/>
        </w:rPr>
        <w:t>校</w:t>
      </w:r>
      <w:r w:rsidRPr="007610BC">
        <w:rPr>
          <w:rFonts w:ascii="ＭＳ 明朝" w:cs="Times New Roman" w:hint="eastAsia"/>
          <w:sz w:val="20"/>
          <w:szCs w:val="20"/>
        </w:rPr>
        <w:t>・</w:t>
      </w:r>
      <w:r w:rsidRPr="007610BC">
        <w:rPr>
          <w:rFonts w:ascii="ＭＳ 明朝" w:cs="Times New Roman"/>
          <w:sz w:val="20"/>
          <w:szCs w:val="20"/>
        </w:rPr>
        <w:t>1</w:t>
      </w:r>
      <w:r w:rsidRPr="007610BC">
        <w:rPr>
          <w:rFonts w:ascii="ＭＳ 明朝" w:cs="Times New Roman" w:hint="eastAsia"/>
          <w:sz w:val="20"/>
          <w:szCs w:val="20"/>
        </w:rPr>
        <w:t>～</w:t>
      </w:r>
      <w:r w:rsidRPr="007610BC">
        <w:rPr>
          <w:rFonts w:ascii="ＭＳ 明朝" w:cs="Times New Roman"/>
          <w:sz w:val="20"/>
          <w:szCs w:val="20"/>
        </w:rPr>
        <w:t>3</w:t>
      </w:r>
      <w:r w:rsidRPr="007610BC">
        <w:rPr>
          <w:rFonts w:ascii="ＭＳ 明朝" w:cs="Times New Roman" w:hint="eastAsia"/>
          <w:sz w:val="20"/>
          <w:szCs w:val="20"/>
        </w:rPr>
        <w:t>年生）</w:t>
      </w:r>
    </w:p>
    <w:p w14:paraId="1803674E" w14:textId="77777777" w:rsidR="007610BC" w:rsidRPr="007610BC" w:rsidRDefault="007610BC" w:rsidP="007610BC">
      <w:pPr>
        <w:adjustRightInd/>
        <w:ind w:left="360"/>
        <w:rPr>
          <w:rFonts w:ascii="ＭＳ 明朝" w:cs="Times New Roman"/>
          <w:sz w:val="20"/>
          <w:szCs w:val="20"/>
        </w:rPr>
      </w:pPr>
      <w:r w:rsidRPr="007610BC">
        <w:rPr>
          <w:rFonts w:ascii="ＭＳ 明朝" w:cs="Times New Roman" w:hint="eastAsia"/>
          <w:sz w:val="20"/>
          <w:szCs w:val="20"/>
        </w:rPr>
        <w:t>回答者：</w:t>
      </w:r>
      <w:r w:rsidRPr="007610BC">
        <w:rPr>
          <w:rFonts w:ascii="ＭＳ 明朝" w:cs="Times New Roman"/>
          <w:sz w:val="20"/>
          <w:szCs w:val="20"/>
        </w:rPr>
        <w:t>54</w:t>
      </w:r>
      <w:r w:rsidRPr="007610BC">
        <w:rPr>
          <w:rFonts w:ascii="ＭＳ 明朝" w:cs="Times New Roman" w:hint="eastAsia"/>
          <w:sz w:val="20"/>
          <w:szCs w:val="20"/>
        </w:rPr>
        <w:t>校の</w:t>
      </w:r>
      <w:r w:rsidRPr="007610BC">
        <w:rPr>
          <w:rFonts w:ascii="ＭＳ 明朝" w:cs="Times New Roman"/>
          <w:sz w:val="20"/>
          <w:szCs w:val="20"/>
        </w:rPr>
        <w:t>30,632</w:t>
      </w:r>
      <w:r w:rsidRPr="007610BC">
        <w:rPr>
          <w:rFonts w:ascii="ＭＳ 明朝" w:cs="Times New Roman" w:hint="eastAsia"/>
          <w:sz w:val="20"/>
          <w:szCs w:val="20"/>
        </w:rPr>
        <w:t>人（回収率：</w:t>
      </w:r>
      <w:r w:rsidRPr="007610BC">
        <w:rPr>
          <w:rFonts w:ascii="ＭＳ 明朝" w:cs="Times New Roman"/>
          <w:sz w:val="20"/>
          <w:szCs w:val="20"/>
        </w:rPr>
        <w:t>94.3</w:t>
      </w:r>
      <w:r w:rsidRPr="007610BC">
        <w:rPr>
          <w:rFonts w:ascii="ＭＳ 明朝" w:cs="Times New Roman" w:hint="eastAsia"/>
          <w:sz w:val="20"/>
          <w:szCs w:val="20"/>
        </w:rPr>
        <w:t>％）</w:t>
      </w:r>
    </w:p>
    <w:p w14:paraId="559EECDB" w14:textId="77777777" w:rsidR="007610BC" w:rsidRDefault="007610BC">
      <w:pPr>
        <w:adjustRightInd/>
        <w:rPr>
          <w:rFonts w:asciiTheme="majorEastAsia" w:eastAsiaTheme="majorEastAsia" w:hAnsiTheme="majorEastAsia"/>
          <w:u w:val="double"/>
        </w:rPr>
      </w:pPr>
    </w:p>
    <w:p w14:paraId="4CF17F60" w14:textId="77777777" w:rsidR="00361778" w:rsidRPr="00361778" w:rsidRDefault="00361778">
      <w:pPr>
        <w:adjustRightInd/>
        <w:rPr>
          <w:rFonts w:asciiTheme="majorEastAsia" w:eastAsiaTheme="majorEastAsia" w:hAnsiTheme="majorEastAsia"/>
          <w:u w:val="double"/>
        </w:rPr>
      </w:pPr>
      <w:r w:rsidRPr="00361778">
        <w:rPr>
          <w:rFonts w:asciiTheme="majorEastAsia" w:eastAsiaTheme="majorEastAsia" w:hAnsiTheme="majorEastAsia" w:hint="eastAsia"/>
          <w:u w:val="double"/>
        </w:rPr>
        <w:t>３．「中立」について</w:t>
      </w:r>
    </w:p>
    <w:p w14:paraId="67B05C57" w14:textId="77777777" w:rsidR="00361778" w:rsidRDefault="00361778">
      <w:pPr>
        <w:adjustRightInd/>
        <w:rPr>
          <w:rFonts w:ascii="ＭＳ 明朝" w:cs="Times New Roman"/>
        </w:rPr>
      </w:pPr>
      <w:r>
        <w:rPr>
          <w:rFonts w:hint="eastAsia"/>
        </w:rPr>
        <w:t xml:space="preserve">　講演会などで、一番質問が多いのは、この「中立」である。私見と公式見解に分けて議論する。</w:t>
      </w:r>
    </w:p>
    <w:p w14:paraId="73D366F8" w14:textId="77777777" w:rsidR="00361778" w:rsidRDefault="00361778">
      <w:pPr>
        <w:adjustRightInd/>
        <w:rPr>
          <w:rFonts w:ascii="ＭＳ 明朝" w:cs="Times New Roman"/>
        </w:rPr>
      </w:pPr>
      <w:r>
        <w:rPr>
          <w:rFonts w:hint="eastAsia"/>
        </w:rPr>
        <w:t xml:space="preserve">　まず私見だが、「『中立』とはなにか？」という議論である。</w:t>
      </w:r>
    </w:p>
    <w:p w14:paraId="1022317B" w14:textId="77777777" w:rsidR="00361778" w:rsidRDefault="00361778">
      <w:pPr>
        <w:adjustRightInd/>
        <w:rPr>
          <w:rFonts w:ascii="ＭＳ 明朝" w:cs="Times New Roman"/>
        </w:rPr>
      </w:pPr>
      <w:r>
        <w:rPr>
          <w:rFonts w:hint="eastAsia"/>
        </w:rPr>
        <w:t xml:space="preserve">　「中立」とは、「対立するどちらの側にも味方しないこと。また、特定の思想や立場をとらず中間に立つこと」とされる（大辞泉）。つまり「真ん中」である。理論的に「真ん中」はあり得るだろうが、現実の政治の世界ではあり得ない。「Ａ党とＢ党の主張の真ん中」と「Ａ党とＣ党の主張の真ん中」は当然違うものだからである（具体的に政党名を当てはめて考えるとよい）。このように考えると、ある人物（政党）が「主権者教育は中立であるべきだ」と主張するとき、その人物（政党）と教育現場が異なる対立政党を想定していた場合、「その立場（授業）は中立ではない」と非難されることになる。このように本来、普遍的とはいえない「中立」の名の下に様々な問題が各地でおきてきた。そこで筆者は、授業における「『中立』は『公平』と読み替える」ことを提案している。「公平」ならば手段・方法の問題だからである。具体的には、政党の政策を扱うときは、すべての政党のマニフェストを利用する。議員を授業に呼ぶときは、すべての会派に声をかけることである。このような方法ならば、立場によって流動する「中立」にかわり実態にあった授業が行えるはずである。</w:t>
      </w:r>
    </w:p>
    <w:p w14:paraId="0AD0F90E" w14:textId="77777777" w:rsidR="00361778" w:rsidRDefault="00361778">
      <w:pPr>
        <w:adjustRightInd/>
        <w:rPr>
          <w:rFonts w:ascii="ＭＳ 明朝" w:cs="Times New Roman"/>
        </w:rPr>
      </w:pPr>
      <w:r>
        <w:rPr>
          <w:rFonts w:hint="eastAsia"/>
        </w:rPr>
        <w:t xml:space="preserve">　以上が私見である。では「指導資料」の公式見解の「中立」に関する教員のとるべき行動について３点指摘したい。</w:t>
      </w:r>
    </w:p>
    <w:p w14:paraId="0DEF3880" w14:textId="77777777" w:rsidR="00361778" w:rsidRDefault="00361778">
      <w:pPr>
        <w:adjustRightInd/>
        <w:rPr>
          <w:rFonts w:ascii="ＭＳ 明朝" w:cs="Times New Roman"/>
        </w:rPr>
      </w:pPr>
      <w:r>
        <w:rPr>
          <w:rFonts w:hint="eastAsia"/>
        </w:rPr>
        <w:t xml:space="preserve">　第１は、政治的対立がある問題を扱う際は、「Ａ説」「Ｂ説」のように</w:t>
      </w:r>
      <w:r>
        <w:rPr>
          <w:rFonts w:hint="eastAsia"/>
          <w:b/>
          <w:bCs/>
        </w:rPr>
        <w:t>両論を併記</w:t>
      </w:r>
      <w:r>
        <w:rPr>
          <w:rFonts w:hint="eastAsia"/>
        </w:rPr>
        <w:t>し、</w:t>
      </w:r>
      <w:r>
        <w:rPr>
          <w:rFonts w:hint="eastAsia"/>
          <w:b/>
          <w:bCs/>
        </w:rPr>
        <w:t>生徒自らに考えさせる</w:t>
      </w:r>
      <w:r>
        <w:rPr>
          <w:rFonts w:hint="eastAsia"/>
        </w:rPr>
        <w:t>ことである。伝統的に、政治的な争点を扱うことが多い政治・経済などでは、例えば「自衛隊の違憲合憲」に関して、双方の根拠をきちんと説明することで対応してきた。このように対応することである（注１）。</w:t>
      </w:r>
    </w:p>
    <w:p w14:paraId="2D5732A2" w14:textId="77777777" w:rsidR="00361778" w:rsidRDefault="00361778">
      <w:pPr>
        <w:adjustRightInd/>
        <w:rPr>
          <w:rFonts w:ascii="ＭＳ 明朝" w:cs="Times New Roman"/>
        </w:rPr>
      </w:pPr>
      <w:r>
        <w:rPr>
          <w:rFonts w:hint="eastAsia"/>
        </w:rPr>
        <w:t xml:space="preserve">　第２は、上記のように「Ａ説」「Ｂ説」を示したとしても、「教員の口はひとつ」であるため、どうしてもどちらかの説に傾くことがある。そのような場合は、</w:t>
      </w:r>
      <w:r>
        <w:rPr>
          <w:rFonts w:hint="eastAsia"/>
          <w:b/>
          <w:bCs/>
        </w:rPr>
        <w:t>複数の資料（新聞など）を利用</w:t>
      </w:r>
      <w:r>
        <w:rPr>
          <w:rFonts w:hint="eastAsia"/>
        </w:rPr>
        <w:t>して、対立点やその根拠などを、生徒が自ら調べ、まとめ、発表し、討論して判断させるようにすることである（注２）。</w:t>
      </w:r>
    </w:p>
    <w:p w14:paraId="053E4A2C" w14:textId="77777777" w:rsidR="00361778" w:rsidRDefault="00361778">
      <w:pPr>
        <w:adjustRightInd/>
        <w:rPr>
          <w:rFonts w:ascii="ＭＳ 明朝" w:cs="Times New Roman"/>
        </w:rPr>
      </w:pPr>
      <w:r>
        <w:rPr>
          <w:rFonts w:hint="eastAsia"/>
        </w:rPr>
        <w:t xml:space="preserve">　例えば、対立する立場の新聞から問題の争点を取り出させるとか、選挙公示日の「党首の第一声」から各党の一番の主張を取り上げ比較させることなどが考えられる。ただしこの手法をとった場合でも、教員による知識面の手助けは必要である。これまでも、生徒の調べ学習などでは、例えば、「個別的自衛権」と「集団的自衛権」の定義の違いは教員が補ってきた実績がある。ただしこの手法の課題は、生徒の「メディアリテラシー」育成の必要性があることである（注３）。</w:t>
      </w:r>
    </w:p>
    <w:p w14:paraId="41B01AE1" w14:textId="77777777" w:rsidR="00361778" w:rsidRDefault="00361778">
      <w:pPr>
        <w:adjustRightInd/>
        <w:rPr>
          <w:rFonts w:ascii="ＭＳ 明朝" w:cs="Times New Roman"/>
        </w:rPr>
      </w:pPr>
      <w:r>
        <w:rPr>
          <w:rFonts w:hint="eastAsia"/>
        </w:rPr>
        <w:t xml:space="preserve">　第３は、「原子力発電所再開の是非」などのような、教員が授業で説明することに困難さを感じるテーマの場合である。そのような場合は、教育メソッドとして「ディベート」を勧めたい（注４）。</w:t>
      </w:r>
      <w:r w:rsidRPr="00361778">
        <w:rPr>
          <w:rFonts w:hint="eastAsia"/>
          <w:b/>
        </w:rPr>
        <w:t>ディベートならばこのようなテーマでも資料を集め</w:t>
      </w:r>
      <w:r>
        <w:rPr>
          <w:rFonts w:hint="eastAsia"/>
        </w:rPr>
        <w:t>、考察し、論争することによって公平に問題を比較することが出来るからである（注５）。さらに、テーマを「原子力発電所再開の是非」ではなく、「これからの日本における電気エネルギーの供給はどのようをにしたらよいか」という大きなテーマに変えることを提案したい。このような大きなテーマに変更することで、「世界の資源の枯渇問題」「自然エネルギーのメリット・デメリット」などと同時に「原子力発電のデメリット・メリット」を考察したり、「世界の原発の状況」も検討することができ、原発を含むエネルギー問題を広く、深く学習できることになる（注６）。</w:t>
      </w:r>
    </w:p>
    <w:p w14:paraId="1C03F99D" w14:textId="77777777" w:rsidR="00361778" w:rsidRPr="007610BC" w:rsidRDefault="00361778" w:rsidP="007610BC">
      <w:pPr>
        <w:adjustRightInd/>
        <w:ind w:left="240"/>
        <w:rPr>
          <w:rFonts w:ascii="ＭＳ 明朝" w:cs="Times New Roman"/>
          <w:sz w:val="20"/>
          <w:szCs w:val="20"/>
        </w:rPr>
      </w:pPr>
      <w:r w:rsidRPr="007610BC">
        <w:rPr>
          <w:rFonts w:hint="eastAsia"/>
          <w:sz w:val="20"/>
          <w:szCs w:val="20"/>
        </w:rPr>
        <w:t>（注１）「指導書」</w:t>
      </w:r>
      <w:r w:rsidRPr="007610BC">
        <w:rPr>
          <w:rFonts w:cs="Times New Roman"/>
          <w:sz w:val="20"/>
          <w:szCs w:val="20"/>
        </w:rPr>
        <w:t>21</w:t>
      </w:r>
      <w:r w:rsidRPr="007610BC">
        <w:rPr>
          <w:rFonts w:hint="eastAsia"/>
          <w:sz w:val="20"/>
          <w:szCs w:val="20"/>
        </w:rPr>
        <w:t>頁参照。</w:t>
      </w:r>
    </w:p>
    <w:p w14:paraId="5F8BC7A3" w14:textId="77777777" w:rsidR="00361778" w:rsidRPr="007610BC" w:rsidRDefault="00361778" w:rsidP="007610BC">
      <w:pPr>
        <w:adjustRightInd/>
        <w:ind w:left="240"/>
        <w:rPr>
          <w:rFonts w:ascii="ＭＳ 明朝" w:cs="Times New Roman"/>
          <w:sz w:val="20"/>
          <w:szCs w:val="20"/>
        </w:rPr>
      </w:pPr>
      <w:r w:rsidRPr="007610BC">
        <w:rPr>
          <w:rFonts w:hint="eastAsia"/>
          <w:sz w:val="20"/>
          <w:szCs w:val="20"/>
        </w:rPr>
        <w:t>（注２）「指導書」</w:t>
      </w:r>
      <w:r w:rsidRPr="007610BC">
        <w:rPr>
          <w:rFonts w:cs="Times New Roman"/>
          <w:sz w:val="20"/>
          <w:szCs w:val="20"/>
        </w:rPr>
        <w:t>21</w:t>
      </w:r>
      <w:r w:rsidRPr="007610BC">
        <w:rPr>
          <w:rFonts w:hint="eastAsia"/>
          <w:sz w:val="20"/>
          <w:szCs w:val="20"/>
        </w:rPr>
        <w:t>頁参照。</w:t>
      </w:r>
    </w:p>
    <w:p w14:paraId="10769C9F" w14:textId="77777777" w:rsidR="00361778" w:rsidRPr="007610BC" w:rsidRDefault="00361778" w:rsidP="007610BC">
      <w:pPr>
        <w:adjustRightInd/>
        <w:ind w:left="962" w:hanging="722"/>
        <w:rPr>
          <w:rFonts w:ascii="ＭＳ 明朝" w:cs="Times New Roman"/>
          <w:sz w:val="20"/>
          <w:szCs w:val="20"/>
        </w:rPr>
      </w:pPr>
      <w:r w:rsidRPr="007610BC">
        <w:rPr>
          <w:rFonts w:hint="eastAsia"/>
          <w:sz w:val="20"/>
          <w:szCs w:val="20"/>
        </w:rPr>
        <w:t>（注３）ほとんどの家庭は１紙しか新聞を取っていない現状であることを考えると、教員側が意識して２紙以上を比較検討させる必要がある。</w:t>
      </w:r>
    </w:p>
    <w:p w14:paraId="31634286" w14:textId="77777777" w:rsidR="00361778" w:rsidRPr="007610BC" w:rsidRDefault="00361778" w:rsidP="007610BC">
      <w:pPr>
        <w:adjustRightInd/>
        <w:ind w:left="962" w:hanging="722"/>
        <w:rPr>
          <w:rFonts w:ascii="ＭＳ 明朝" w:cs="Times New Roman"/>
          <w:sz w:val="20"/>
          <w:szCs w:val="20"/>
        </w:rPr>
      </w:pPr>
      <w:r w:rsidRPr="007610BC">
        <w:rPr>
          <w:rFonts w:hint="eastAsia"/>
          <w:sz w:val="20"/>
          <w:szCs w:val="20"/>
        </w:rPr>
        <w:t>（注４）補助教材には、討論の方法、ディベート、地域課題の見つけ方、模擬選挙、模擬請願、模擬議会など様々な教育メソッドが示されている。それぞれの授業には「目標」があり、その目標達成のために「教材を選択」し、その教材を一番生かす「教育メソッド」を選択するはずである。このように考えると、教員は教育メソッドを身に付けておけばおくほど、幅広い教育活動が出来ることになる。</w:t>
      </w:r>
    </w:p>
    <w:p w14:paraId="47FBE273" w14:textId="77777777" w:rsidR="00361778" w:rsidRPr="007610BC" w:rsidRDefault="00361778" w:rsidP="007610BC">
      <w:pPr>
        <w:adjustRightInd/>
        <w:ind w:left="962" w:hanging="722"/>
        <w:rPr>
          <w:rFonts w:ascii="ＭＳ 明朝" w:cs="Times New Roman"/>
          <w:sz w:val="20"/>
          <w:szCs w:val="20"/>
        </w:rPr>
      </w:pPr>
      <w:r w:rsidRPr="007610BC">
        <w:rPr>
          <w:rFonts w:hint="eastAsia"/>
          <w:sz w:val="20"/>
          <w:szCs w:val="20"/>
        </w:rPr>
        <w:t>（注５）「指導書」</w:t>
      </w:r>
      <w:r w:rsidRPr="007610BC">
        <w:rPr>
          <w:rFonts w:cs="Times New Roman"/>
          <w:sz w:val="20"/>
          <w:szCs w:val="20"/>
        </w:rPr>
        <w:t>27</w:t>
      </w:r>
      <w:r w:rsidRPr="007610BC">
        <w:rPr>
          <w:rFonts w:hint="eastAsia"/>
          <w:sz w:val="20"/>
          <w:szCs w:val="20"/>
        </w:rPr>
        <w:t>頁参照。</w:t>
      </w:r>
    </w:p>
    <w:p w14:paraId="252B3277" w14:textId="77777777" w:rsidR="00361778" w:rsidRPr="007610BC" w:rsidRDefault="00361778" w:rsidP="007610BC">
      <w:pPr>
        <w:adjustRightInd/>
        <w:ind w:left="962" w:hanging="722"/>
        <w:jc w:val="left"/>
        <w:rPr>
          <w:rFonts w:ascii="ＭＳ 明朝" w:cs="Times New Roman"/>
          <w:sz w:val="20"/>
          <w:szCs w:val="20"/>
        </w:rPr>
      </w:pPr>
      <w:r w:rsidRPr="007610BC">
        <w:rPr>
          <w:rFonts w:hint="eastAsia"/>
          <w:sz w:val="20"/>
          <w:szCs w:val="20"/>
        </w:rPr>
        <w:t>（注６）三重大学の山根教授は、このような、どのような政治的な立場からでも公平に発言できる学習問題の設定を「中立項的な問題設定」とよんでいる。（</w:t>
      </w:r>
      <w:r w:rsidRPr="007610BC">
        <w:rPr>
          <w:rFonts w:cs="Times New Roman"/>
          <w:sz w:val="20"/>
          <w:szCs w:val="20"/>
        </w:rPr>
        <w:t>Voters</w:t>
      </w:r>
      <w:r w:rsidRPr="007610BC">
        <w:rPr>
          <w:rFonts w:hint="eastAsia"/>
          <w:sz w:val="20"/>
          <w:szCs w:val="20"/>
        </w:rPr>
        <w:t xml:space="preserve">　</w:t>
      </w:r>
      <w:r w:rsidRPr="007610BC">
        <w:rPr>
          <w:rFonts w:cs="Times New Roman"/>
          <w:sz w:val="20"/>
          <w:szCs w:val="20"/>
        </w:rPr>
        <w:t>No.26  8</w:t>
      </w:r>
      <w:r w:rsidRPr="007610BC">
        <w:rPr>
          <w:rFonts w:hint="eastAsia"/>
          <w:sz w:val="20"/>
          <w:szCs w:val="20"/>
        </w:rPr>
        <w:t>～</w:t>
      </w:r>
      <w:r w:rsidRPr="007610BC">
        <w:rPr>
          <w:rFonts w:cs="Times New Roman"/>
          <w:sz w:val="20"/>
          <w:szCs w:val="20"/>
        </w:rPr>
        <w:t>9</w:t>
      </w:r>
      <w:r w:rsidRPr="007610BC">
        <w:rPr>
          <w:rFonts w:hint="eastAsia"/>
          <w:sz w:val="20"/>
          <w:szCs w:val="20"/>
        </w:rPr>
        <w:t>頁）</w:t>
      </w:r>
    </w:p>
    <w:p w14:paraId="053BCD29" w14:textId="77777777" w:rsidR="00361778" w:rsidRDefault="00361778">
      <w:pPr>
        <w:adjustRightInd/>
        <w:rPr>
          <w:rFonts w:ascii="ＭＳ 明朝" w:cs="Times New Roman"/>
        </w:rPr>
      </w:pPr>
    </w:p>
    <w:p w14:paraId="623A4DC6" w14:textId="77777777" w:rsidR="00361778" w:rsidRPr="00361778" w:rsidRDefault="00361778">
      <w:pPr>
        <w:adjustRightInd/>
        <w:rPr>
          <w:rFonts w:asciiTheme="majorEastAsia" w:eastAsiaTheme="majorEastAsia" w:hAnsiTheme="majorEastAsia" w:cs="Times New Roman"/>
          <w:u w:val="double"/>
        </w:rPr>
      </w:pPr>
      <w:r w:rsidRPr="00361778">
        <w:rPr>
          <w:rFonts w:asciiTheme="majorEastAsia" w:eastAsiaTheme="majorEastAsia" w:hAnsiTheme="majorEastAsia" w:hint="eastAsia"/>
          <w:u w:val="double"/>
        </w:rPr>
        <w:t>５．あるセミナーでの質問　【教科書の内容と選挙運動】</w:t>
      </w:r>
    </w:p>
    <w:p w14:paraId="71C68163" w14:textId="77777777" w:rsidR="00361778" w:rsidRDefault="00361778">
      <w:pPr>
        <w:adjustRightInd/>
        <w:ind w:left="480" w:hanging="480"/>
        <w:rPr>
          <w:rFonts w:ascii="ＭＳ 明朝" w:cs="Times New Roman"/>
        </w:rPr>
      </w:pPr>
      <w:r>
        <w:rPr>
          <w:rFonts w:hint="eastAsia"/>
        </w:rPr>
        <w:t xml:space="preserve">　「選挙期間中の主権者教育は制限があることは分かりました。マニフェストなどを教員が比較したらいけないということですが、選挙期間中に、教科書にある『政党政治』の項目などでは政党の実名が出てきますし、その政党の性格付けも出てきます。それを教えても大丈夫ですか？　例えば東書では、『自民党は官僚制と密接な協力関係を築くとともに、利益誘導型政治によって広範な業界団体や利益集団の支持を集めた。……（中略）自民党内では有力な派閥が資金力を背景に首相の座をめぐって争い…』との記述がありますが、過去のこととは言え、選挙期間中に授業で扱うことは大丈夫なのでしょうか？」</w:t>
      </w:r>
    </w:p>
    <w:p w14:paraId="675EB8B6" w14:textId="77777777" w:rsidR="00361778" w:rsidRDefault="00361778">
      <w:pPr>
        <w:adjustRightInd/>
        <w:rPr>
          <w:rFonts w:ascii="ＭＳ 明朝" w:cs="Times New Roman"/>
        </w:rPr>
      </w:pPr>
      <w:r>
        <w:rPr>
          <w:rFonts w:hint="eastAsia"/>
        </w:rPr>
        <w:t xml:space="preserve">　●私的な考えとしては以下のとおりです。</w:t>
      </w:r>
    </w:p>
    <w:p w14:paraId="37E100CC" w14:textId="77777777" w:rsidR="00361778" w:rsidRDefault="00361778">
      <w:pPr>
        <w:adjustRightInd/>
        <w:ind w:left="480" w:hanging="480"/>
        <w:rPr>
          <w:rFonts w:ascii="ＭＳ 明朝" w:cs="Times New Roman"/>
        </w:rPr>
      </w:pPr>
      <w:r>
        <w:rPr>
          <w:rFonts w:hint="eastAsia"/>
        </w:rPr>
        <w:t xml:space="preserve">　　「教科書の内容なので、とりあえず選挙期間にかかわらず授業を行ってよいと思うが、心配ならば、カリキュラムマネジメントで、うまくコントロールしてはいかがですか？　（選挙期間にかぶらないようにその項目だけ調整する）」</w:t>
      </w:r>
    </w:p>
    <w:p w14:paraId="4DE8746A" w14:textId="77777777" w:rsidR="00361778" w:rsidRDefault="00361778">
      <w:pPr>
        <w:adjustRightInd/>
        <w:rPr>
          <w:rFonts w:ascii="ＭＳ 明朝" w:cs="Times New Roman"/>
        </w:rPr>
      </w:pPr>
      <w:r>
        <w:rPr>
          <w:rFonts w:hint="eastAsia"/>
        </w:rPr>
        <w:t xml:space="preserve">　●公式見解に近い答えとしては以下のとおりです。</w:t>
      </w:r>
    </w:p>
    <w:p w14:paraId="69C6EC55" w14:textId="77777777" w:rsidR="00361778" w:rsidRDefault="00361778">
      <w:pPr>
        <w:adjustRightInd/>
        <w:ind w:left="480" w:hanging="480"/>
        <w:rPr>
          <w:rFonts w:ascii="ＭＳ 明朝" w:cs="Times New Roman"/>
        </w:rPr>
      </w:pPr>
      <w:r>
        <w:rPr>
          <w:rFonts w:hint="eastAsia"/>
        </w:rPr>
        <w:t xml:space="preserve">　　「公選法を司る総務省的に回答すれば、選挙運動期間中に政党についての説明をすることも『選挙違反となるおそれがある』といわざるをえないでしょう。</w:t>
      </w:r>
    </w:p>
    <w:p w14:paraId="0F657351" w14:textId="77777777" w:rsidR="00361778" w:rsidRDefault="00361778">
      <w:pPr>
        <w:adjustRightInd/>
        <w:ind w:left="480" w:hanging="480"/>
        <w:rPr>
          <w:rFonts w:ascii="ＭＳ 明朝" w:cs="Times New Roman"/>
        </w:rPr>
      </w:pPr>
      <w:r>
        <w:rPr>
          <w:rFonts w:hint="eastAsia"/>
        </w:rPr>
        <w:t xml:space="preserve">　　　外形的に、その場面だけを切り取ってしまうと、授業者の意図は内面にあるものであるため判読できないからです。</w:t>
      </w:r>
    </w:p>
    <w:p w14:paraId="42059642" w14:textId="77777777" w:rsidR="00361778" w:rsidRDefault="00361778">
      <w:pPr>
        <w:adjustRightInd/>
        <w:ind w:left="480" w:hanging="480"/>
        <w:rPr>
          <w:rFonts w:ascii="ＭＳ 明朝" w:cs="Times New Roman"/>
        </w:rPr>
      </w:pPr>
      <w:r>
        <w:rPr>
          <w:rFonts w:hint="eastAsia"/>
        </w:rPr>
        <w:t xml:space="preserve">　　　しかし、これは裏を返せば選挙運動を行うという意図を持って教科書に掲載されている政党を説明したのであると論証することも難しいため、現実的にはこの行為のみをもって起訴されるということは非常に考えにくい事柄かと存じます。</w:t>
      </w:r>
    </w:p>
    <w:p w14:paraId="6B6245C7" w14:textId="77777777" w:rsidR="00361778" w:rsidRDefault="00361778">
      <w:pPr>
        <w:adjustRightInd/>
        <w:ind w:left="480" w:hanging="480"/>
        <w:rPr>
          <w:rFonts w:ascii="ＭＳ 明朝" w:cs="Times New Roman"/>
        </w:rPr>
      </w:pPr>
      <w:r>
        <w:rPr>
          <w:rFonts w:hint="eastAsia"/>
        </w:rPr>
        <w:t xml:space="preserve">　　　高等学校学習指導要領総則にある「見通しを持ったり振り返ったりする学習活動」を意識し、</w:t>
      </w:r>
      <w:r w:rsidRPr="00361778">
        <w:rPr>
          <w:rFonts w:hint="eastAsia"/>
          <w:u w:val="single"/>
        </w:rPr>
        <w:t>本単元（本時）の授業のねらい（目標）が何であるのかを生徒全員に理解させてから</w:t>
      </w:r>
      <w:r>
        <w:rPr>
          <w:rFonts w:hint="eastAsia"/>
        </w:rPr>
        <w:t>通常の授業を行い、最後には振り返る、ということを丁寧に行うことで、うがった見方をする生徒等が仮にいたとしても、他の生徒が授業のねらいに即した展開であったと証言してくれるので、先生自身も守られることになると考えます。」</w:t>
      </w:r>
    </w:p>
    <w:p w14:paraId="341BE166" w14:textId="77777777" w:rsidR="00361778" w:rsidRDefault="00361778">
      <w:pPr>
        <w:adjustRightInd/>
        <w:ind w:left="722" w:hanging="722"/>
        <w:rPr>
          <w:rFonts w:ascii="ＭＳ 明朝" w:cs="Times New Roman"/>
        </w:rPr>
      </w:pPr>
      <w:r>
        <w:rPr>
          <w:rFonts w:ascii="ＭＳ 明朝" w:eastAsia="ＭＳ ゴシック" w:cs="ＭＳ ゴシック" w:hint="eastAsia"/>
          <w:b/>
          <w:bCs/>
          <w:color w:val="FF0000"/>
        </w:rPr>
        <w:t xml:space="preserve">　　→授業には「目標」があり、その目標をきちんと生徒に認識して「教材」を扱えば問題はない、ことになります。</w:t>
      </w:r>
    </w:p>
    <w:p w14:paraId="2CA2D482" w14:textId="77777777" w:rsidR="00361778" w:rsidRDefault="00361778">
      <w:pPr>
        <w:adjustRightInd/>
        <w:ind w:left="480" w:hanging="480"/>
        <w:rPr>
          <w:rFonts w:ascii="ＭＳ 明朝" w:cs="Times New Roman"/>
        </w:rPr>
      </w:pPr>
      <w:r>
        <w:rPr>
          <w:rFonts w:hint="eastAsia"/>
        </w:rPr>
        <w:t xml:space="preserve">　　　</w:t>
      </w:r>
    </w:p>
    <w:sectPr w:rsidR="00361778">
      <w:footerReference w:type="default" r:id="rId9"/>
      <w:type w:val="continuous"/>
      <w:pgSz w:w="11906" w:h="16838"/>
      <w:pgMar w:top="1134" w:right="1134" w:bottom="1134" w:left="1134" w:header="720" w:footer="720" w:gutter="0"/>
      <w:pgNumType w:start="1"/>
      <w:cols w:space="720"/>
      <w:noEndnote/>
      <w:docGrid w:type="linesAndChars" w:linePitch="3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4D925" w14:textId="77777777" w:rsidR="00454E8C" w:rsidRDefault="00454E8C">
      <w:r>
        <w:separator/>
      </w:r>
    </w:p>
  </w:endnote>
  <w:endnote w:type="continuationSeparator" w:id="0">
    <w:p w14:paraId="5518A255" w14:textId="77777777" w:rsidR="00454E8C" w:rsidRDefault="0045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9067" w14:textId="77777777" w:rsidR="00361778" w:rsidRDefault="00361778">
    <w:pPr>
      <w:framePr w:wrap="auto" w:vAnchor="text" w:hAnchor="margin" w:xAlign="center" w:y="1"/>
      <w:adjustRightInd/>
      <w:jc w:val="center"/>
      <w:rPr>
        <w:rFonts w:ascii="ＭＳ 明朝" w:cs="Times New Roman"/>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4E5B95">
      <w:rPr>
        <w:rFonts w:cs="Times New Roman"/>
        <w:noProof/>
      </w:rPr>
      <w:t>1</w:t>
    </w:r>
    <w:r>
      <w:rPr>
        <w:rFonts w:cs="Times New Roman"/>
      </w:rPr>
      <w:fldChar w:fldCharType="end"/>
    </w:r>
    <w:r>
      <w:rPr>
        <w:rFonts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EA347" w14:textId="77777777" w:rsidR="00454E8C" w:rsidRDefault="00454E8C">
      <w:r>
        <w:rPr>
          <w:rFonts w:ascii="ＭＳ 明朝" w:cs="Times New Roman"/>
          <w:color w:val="auto"/>
          <w:sz w:val="2"/>
          <w:szCs w:val="2"/>
        </w:rPr>
        <w:continuationSeparator/>
      </w:r>
    </w:p>
  </w:footnote>
  <w:footnote w:type="continuationSeparator" w:id="0">
    <w:p w14:paraId="4869F5AF" w14:textId="77777777" w:rsidR="00454E8C" w:rsidRDefault="00454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962"/>
  <w:hyphenationZone w:val="0"/>
  <w:drawingGridHorizontalSpacing w:val="1"/>
  <w:drawingGridVerticalSpacing w:val="363"/>
  <w:displayHorizontalDrawingGridEvery w:val="0"/>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78"/>
    <w:rsid w:val="00361778"/>
    <w:rsid w:val="0043591C"/>
    <w:rsid w:val="00454E8C"/>
    <w:rsid w:val="004E5B95"/>
    <w:rsid w:val="007610BC"/>
    <w:rsid w:val="00787D5A"/>
    <w:rsid w:val="00C50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2356F0E6"/>
  <w14:defaultImageDpi w14:val="0"/>
  <w15:docId w15:val="{3099F37C-4B6E-4645-B7F9-C2FD2F95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10BC"/>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miyazaki.lg.jp/senkyo/kense/senkyo/enquete30000.html" TargetMode="External"/><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947</Words>
  <Characters>5402</Characters>
  <Application>Microsoft Office Word</Application>
  <DocSecurity>0</DocSecurity>
  <Lines>45</Lines>
  <Paragraphs>12</Paragraphs>
  <ScaleCrop>false</ScaleCrop>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fuji24724@outlook.com</dc:creator>
  <cp:keywords/>
  <dc:description/>
  <cp:lastModifiedBy>右寺 恒在</cp:lastModifiedBy>
  <cp:revision>3</cp:revision>
  <cp:lastPrinted>2016-03-16T08:36:00Z</cp:lastPrinted>
  <dcterms:created xsi:type="dcterms:W3CDTF">2022-02-28T02:36:00Z</dcterms:created>
  <dcterms:modified xsi:type="dcterms:W3CDTF">2022-02-28T02:36:00Z</dcterms:modified>
</cp:coreProperties>
</file>